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1092" w14:textId="33D7F6C1" w:rsidR="00501F40" w:rsidRPr="003C4871" w:rsidRDefault="00501F40" w:rsidP="003C4871">
      <w:pPr>
        <w:jc w:val="both"/>
        <w:rPr>
          <w:rFonts w:ascii="Arial" w:hAnsi="Arial" w:cs="Arial"/>
          <w:color w:val="404040"/>
          <w:sz w:val="22"/>
          <w:szCs w:val="22"/>
          <w:lang w:val="en-US"/>
        </w:rPr>
      </w:pPr>
      <w:r w:rsidRPr="00B21FFF">
        <w:rPr>
          <w:rFonts w:ascii="Arial" w:hAnsi="Arial" w:cs="Arial"/>
          <w:noProof/>
          <w:color w:val="404040"/>
          <w:sz w:val="22"/>
          <w:szCs w:val="22"/>
          <w:lang w:val="en-US" w:bidi="ar-SA"/>
        </w:rPr>
        <w:drawing>
          <wp:anchor distT="0" distB="0" distL="114300" distR="114300" simplePos="0" relativeHeight="251659264" behindDoc="0" locked="0" layoutInCell="1" allowOverlap="1" wp14:anchorId="4555F8C3" wp14:editId="174081D1">
            <wp:simplePos x="0" y="0"/>
            <wp:positionH relativeFrom="column">
              <wp:posOffset>3937000</wp:posOffset>
            </wp:positionH>
            <wp:positionV relativeFrom="paragraph">
              <wp:posOffset>0</wp:posOffset>
            </wp:positionV>
            <wp:extent cx="1828800" cy="914400"/>
            <wp:effectExtent l="0" t="0" r="0" b="0"/>
            <wp:wrapSquare wrapText="right"/>
            <wp:docPr id="4" name="Picture 4" descr="Screen Shot 2012-06-05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2-06-05 at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FFF">
        <w:rPr>
          <w:rFonts w:ascii="Arial" w:hAnsi="Arial" w:cs="Arial"/>
          <w:color w:val="000000" w:themeColor="text1"/>
          <w:sz w:val="22"/>
          <w:szCs w:val="22"/>
          <w:lang w:val="en-US"/>
        </w:rPr>
        <w:t>Media information</w:t>
      </w:r>
    </w:p>
    <w:p w14:paraId="49A27081" w14:textId="3D546940" w:rsidR="00501F40" w:rsidRPr="00B21FFF" w:rsidRDefault="00501F40" w:rsidP="003C4871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21FF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August </w:t>
      </w:r>
      <w:r w:rsidR="00845265">
        <w:rPr>
          <w:rFonts w:ascii="Arial" w:hAnsi="Arial" w:cs="Arial"/>
          <w:color w:val="000000" w:themeColor="text1"/>
          <w:sz w:val="22"/>
          <w:szCs w:val="22"/>
          <w:lang w:val="en-US"/>
        </w:rPr>
        <w:t>4</w:t>
      </w:r>
      <w:r w:rsidRPr="00B21FFF">
        <w:rPr>
          <w:rFonts w:ascii="Arial" w:hAnsi="Arial" w:cs="Arial"/>
          <w:color w:val="000000" w:themeColor="text1"/>
          <w:sz w:val="22"/>
          <w:szCs w:val="22"/>
          <w:lang w:val="en-US"/>
        </w:rPr>
        <w:t>, 2020</w:t>
      </w:r>
    </w:p>
    <w:p w14:paraId="77C2D8EE" w14:textId="77777777" w:rsidR="00501F40" w:rsidRPr="00B21FFF" w:rsidRDefault="00501F40" w:rsidP="00B05CBC">
      <w:pPr>
        <w:jc w:val="both"/>
        <w:rPr>
          <w:rFonts w:ascii="Arial" w:eastAsia="Cambria" w:hAnsi="Arial" w:cs="Arial"/>
          <w:b/>
          <w:sz w:val="22"/>
          <w:szCs w:val="22"/>
          <w:lang w:val="en-US"/>
        </w:rPr>
      </w:pPr>
    </w:p>
    <w:p w14:paraId="09091B06" w14:textId="77777777" w:rsidR="00501F40" w:rsidRPr="00B21FFF" w:rsidRDefault="00501F40" w:rsidP="00B05CBC">
      <w:pPr>
        <w:jc w:val="both"/>
        <w:rPr>
          <w:rFonts w:ascii="Arial" w:eastAsia="Cambria" w:hAnsi="Arial" w:cs="Arial"/>
          <w:b/>
          <w:lang w:val="en-US"/>
        </w:rPr>
      </w:pPr>
    </w:p>
    <w:p w14:paraId="3D5E72B2" w14:textId="77777777" w:rsidR="00501F40" w:rsidRPr="00B21FFF" w:rsidRDefault="00501F40" w:rsidP="00B05CBC">
      <w:pPr>
        <w:jc w:val="both"/>
        <w:rPr>
          <w:rFonts w:ascii="Arial" w:eastAsia="Cambria" w:hAnsi="Arial" w:cs="Arial"/>
          <w:b/>
          <w:lang w:val="en-US"/>
        </w:rPr>
      </w:pPr>
    </w:p>
    <w:p w14:paraId="6B62F55F" w14:textId="77777777" w:rsidR="00501F40" w:rsidRPr="00B21FFF" w:rsidRDefault="00501F40" w:rsidP="00B05CBC">
      <w:pPr>
        <w:jc w:val="center"/>
        <w:rPr>
          <w:rFonts w:ascii="Arial" w:eastAsia="Cambria" w:hAnsi="Arial" w:cs="Arial"/>
          <w:b/>
          <w:lang w:val="en-US"/>
        </w:rPr>
      </w:pPr>
      <w:r w:rsidRPr="00B21FFF">
        <w:rPr>
          <w:rFonts w:ascii="Arial" w:eastAsia="Cambria" w:hAnsi="Arial" w:cs="Arial"/>
          <w:b/>
          <w:lang w:val="en-US"/>
        </w:rPr>
        <w:t>FOOD UNION INVESTED €18.8M AND SECURED €277M TURNOVER IN 2019</w:t>
      </w:r>
    </w:p>
    <w:p w14:paraId="4E6C2E21" w14:textId="77777777" w:rsidR="00501F40" w:rsidRPr="00B21FFF" w:rsidRDefault="00501F40" w:rsidP="00B05CBC">
      <w:pPr>
        <w:jc w:val="both"/>
        <w:rPr>
          <w:rFonts w:ascii="Arial" w:eastAsia="Cambria" w:hAnsi="Arial" w:cs="Arial"/>
          <w:i/>
          <w:sz w:val="22"/>
          <w:szCs w:val="22"/>
          <w:lang w:val="en-US"/>
        </w:rPr>
      </w:pPr>
    </w:p>
    <w:p w14:paraId="27328221" w14:textId="77777777" w:rsidR="00501F40" w:rsidRPr="00B21FFF" w:rsidRDefault="00501F40" w:rsidP="00B05CB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1FFF">
        <w:rPr>
          <w:rFonts w:ascii="Arial" w:hAnsi="Arial" w:cs="Arial"/>
          <w:sz w:val="22"/>
          <w:szCs w:val="22"/>
          <w:lang w:val="en-US"/>
        </w:rPr>
        <w:t xml:space="preserve">Food Union Group, one of </w:t>
      </w:r>
      <w:r>
        <w:rPr>
          <w:rFonts w:ascii="Arial" w:hAnsi="Arial" w:cs="Arial"/>
          <w:sz w:val="22"/>
          <w:szCs w:val="22"/>
          <w:lang w:val="en-US"/>
        </w:rPr>
        <w:t>Europe’s</w:t>
      </w:r>
      <w:r w:rsidRPr="00B21FFF">
        <w:rPr>
          <w:rFonts w:ascii="Arial" w:hAnsi="Arial" w:cs="Arial"/>
          <w:sz w:val="22"/>
          <w:szCs w:val="22"/>
          <w:lang w:val="en-US"/>
        </w:rPr>
        <w:t xml:space="preserve"> leading ice cream and dairy producing group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B21FFF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 xml:space="preserve">ended 2019 with a </w:t>
      </w:r>
      <w:r w:rsidRPr="00B21FFF">
        <w:rPr>
          <w:rFonts w:ascii="Arial" w:hAnsi="Arial" w:cs="Arial"/>
          <w:sz w:val="22"/>
          <w:szCs w:val="22"/>
          <w:lang w:val="en-US"/>
        </w:rPr>
        <w:t>strong performance</w:t>
      </w:r>
      <w:r>
        <w:rPr>
          <w:rFonts w:ascii="Arial" w:hAnsi="Arial" w:cs="Arial"/>
          <w:sz w:val="22"/>
          <w:szCs w:val="22"/>
          <w:lang w:val="en-US"/>
        </w:rPr>
        <w:t xml:space="preserve">, amounting to </w:t>
      </w:r>
      <w:r w:rsidRPr="00C57040">
        <w:rPr>
          <w:rFonts w:ascii="Arial" w:hAnsi="Arial" w:cs="Arial"/>
          <w:sz w:val="22"/>
          <w:szCs w:val="22"/>
          <w:lang w:val="en-US"/>
        </w:rPr>
        <w:t>€277</w:t>
      </w:r>
      <w:r>
        <w:rPr>
          <w:rFonts w:ascii="Arial" w:hAnsi="Arial" w:cs="Arial"/>
          <w:sz w:val="22"/>
          <w:szCs w:val="22"/>
          <w:lang w:val="en-US"/>
        </w:rPr>
        <w:t>-</w:t>
      </w:r>
      <w:r w:rsidRPr="00C57040">
        <w:rPr>
          <w:rFonts w:ascii="Arial" w:hAnsi="Arial" w:cs="Arial"/>
          <w:sz w:val="22"/>
          <w:szCs w:val="22"/>
          <w:lang w:val="en-US"/>
        </w:rPr>
        <w:t>million</w:t>
      </w:r>
      <w:r>
        <w:rPr>
          <w:rFonts w:ascii="Arial" w:hAnsi="Arial" w:cs="Arial"/>
          <w:sz w:val="22"/>
          <w:szCs w:val="22"/>
          <w:lang w:val="en-US"/>
        </w:rPr>
        <w:t xml:space="preserve"> in net revenue </w:t>
      </w:r>
      <w:r w:rsidRPr="00B21FFF">
        <w:rPr>
          <w:rFonts w:ascii="Arial" w:hAnsi="Arial" w:cs="Arial"/>
          <w:sz w:val="22"/>
          <w:szCs w:val="22"/>
          <w:lang w:val="en-US"/>
        </w:rPr>
        <w:t xml:space="preserve">and </w:t>
      </w:r>
      <w:r>
        <w:rPr>
          <w:rFonts w:ascii="Arial" w:hAnsi="Arial" w:cs="Arial"/>
          <w:sz w:val="22"/>
          <w:szCs w:val="22"/>
          <w:lang w:val="en-US"/>
        </w:rPr>
        <w:t xml:space="preserve">a </w:t>
      </w:r>
      <w:r w:rsidRPr="00B21FFF">
        <w:rPr>
          <w:rFonts w:ascii="Arial" w:hAnsi="Arial" w:cs="Arial"/>
          <w:sz w:val="22"/>
          <w:szCs w:val="22"/>
          <w:lang w:val="en-US"/>
        </w:rPr>
        <w:t xml:space="preserve">gross profit of €104-million.The Group committed capital investments of </w:t>
      </w:r>
      <w:r w:rsidRPr="00C57040">
        <w:rPr>
          <w:rFonts w:ascii="Arial" w:hAnsi="Arial" w:cs="Arial"/>
          <w:sz w:val="22"/>
          <w:szCs w:val="22"/>
          <w:lang w:val="en-US"/>
        </w:rPr>
        <w:t>€18.8</w:t>
      </w:r>
      <w:r>
        <w:rPr>
          <w:rFonts w:ascii="Arial" w:hAnsi="Arial" w:cs="Arial"/>
          <w:sz w:val="22"/>
          <w:szCs w:val="22"/>
          <w:lang w:val="en-US"/>
        </w:rPr>
        <w:t>-</w:t>
      </w:r>
      <w:r w:rsidRPr="00C57040">
        <w:rPr>
          <w:rFonts w:ascii="Arial" w:hAnsi="Arial" w:cs="Arial"/>
          <w:sz w:val="22"/>
          <w:szCs w:val="22"/>
          <w:lang w:val="en-US"/>
        </w:rPr>
        <w:t>million</w:t>
      </w:r>
      <w:r w:rsidRPr="00B21FFF">
        <w:rPr>
          <w:rFonts w:ascii="Arial" w:hAnsi="Arial" w:cs="Arial"/>
          <w:sz w:val="22"/>
          <w:szCs w:val="22"/>
          <w:lang w:val="en-US"/>
        </w:rPr>
        <w:t xml:space="preserve"> that will form the foundation for the Group’s ambitious, long-term plans.</w:t>
      </w:r>
    </w:p>
    <w:p w14:paraId="57B6F32B" w14:textId="77777777" w:rsidR="00501F40" w:rsidRPr="00B21FFF" w:rsidRDefault="00501F40" w:rsidP="00B05CBC">
      <w:pPr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209BA7E4" w14:textId="77777777" w:rsidR="00501F40" w:rsidRPr="00B21FFF" w:rsidRDefault="00501F40" w:rsidP="00B05CBC">
      <w:pPr>
        <w:jc w:val="both"/>
        <w:rPr>
          <w:rFonts w:ascii="Arial" w:eastAsia="Cambria" w:hAnsi="Arial" w:cs="Arial"/>
          <w:i/>
          <w:iCs/>
          <w:sz w:val="22"/>
          <w:szCs w:val="22"/>
          <w:lang w:val="en-US"/>
        </w:rPr>
      </w:pP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>“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>W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>e actively invest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>ed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in long-term growth for our leading market brands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to meet growing demand. We focused on enhancing production capabilities and poured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energy into modern technologies to improve production capacity and ensure 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the highest 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>quality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product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. This will 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>give us an ongoing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competitive edge 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as we continue to 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>push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the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boundaries 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of innovation 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and 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>create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new products that delight 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>consumers.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</w:t>
      </w:r>
    </w:p>
    <w:p w14:paraId="0E84A58E" w14:textId="77777777" w:rsidR="00501F40" w:rsidRPr="00B21FFF" w:rsidRDefault="00501F40" w:rsidP="00B05CBC">
      <w:pPr>
        <w:jc w:val="both"/>
        <w:rPr>
          <w:rFonts w:ascii="Arial" w:eastAsia="Cambria" w:hAnsi="Arial" w:cs="Arial"/>
          <w:i/>
          <w:iCs/>
          <w:sz w:val="22"/>
          <w:szCs w:val="22"/>
          <w:lang w:val="en-US"/>
        </w:rPr>
      </w:pPr>
    </w:p>
    <w:p w14:paraId="11CFF641" w14:textId="77777777" w:rsidR="00501F40" w:rsidRPr="00B21FFF" w:rsidRDefault="00501F40" w:rsidP="00B05CBC">
      <w:pPr>
        <w:jc w:val="both"/>
        <w:rPr>
          <w:rFonts w:ascii="Arial" w:eastAsia="Cambria" w:hAnsi="Arial" w:cs="Arial"/>
          <w:sz w:val="22"/>
          <w:szCs w:val="22"/>
          <w:lang w:val="en-US"/>
        </w:rPr>
      </w:pP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>In 2019, unpredictable and unfavorable weather conditions impacted sales, however, the year   was also marked by record investments in our production facilities, equipment, machinery and fixtures, as well as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a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car fleet. 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>This year’s total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CAPEX of </w:t>
      </w:r>
      <w:proofErr w:type="gramStart"/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>€18.8-million</w:t>
      </w:r>
      <w:proofErr w:type="gramEnd"/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is the highest investment in the last five years and double the average investment of the 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>past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 two years</w:t>
      </w:r>
      <w:r>
        <w:rPr>
          <w:rFonts w:ascii="Arial" w:eastAsia="Cambria" w:hAnsi="Arial" w:cs="Arial"/>
          <w:sz w:val="22"/>
          <w:szCs w:val="22"/>
          <w:lang w:val="en-US"/>
        </w:rPr>
        <w:t xml:space="preserve">. 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I am infinitely grateful to </w:t>
      </w:r>
      <w:r>
        <w:rPr>
          <w:rFonts w:ascii="Arial" w:eastAsia="Cambria" w:hAnsi="Arial" w:cs="Arial"/>
          <w:i/>
          <w:iCs/>
          <w:sz w:val="22"/>
          <w:szCs w:val="22"/>
          <w:lang w:val="en-US"/>
        </w:rPr>
        <w:t xml:space="preserve">our </w:t>
      </w:r>
      <w:r w:rsidRPr="00B21FFF">
        <w:rPr>
          <w:rFonts w:ascii="Arial" w:eastAsia="Cambria" w:hAnsi="Arial" w:cs="Arial"/>
          <w:i/>
          <w:iCs/>
          <w:sz w:val="22"/>
          <w:szCs w:val="22"/>
          <w:lang w:val="en-US"/>
        </w:rPr>
        <w:t>Food Union family of over 3,100 people, and I hope the results of 2019 will inspire new achievements and success stories in 2020</w:t>
      </w:r>
      <w:r>
        <w:rPr>
          <w:rFonts w:ascii="Arial" w:eastAsia="Cambria" w:hAnsi="Arial" w:cs="Arial"/>
          <w:sz w:val="22"/>
          <w:szCs w:val="22"/>
          <w:lang w:val="en-US"/>
        </w:rPr>
        <w:t>,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” </w:t>
      </w:r>
      <w:r w:rsidRPr="00B21FFF">
        <w:rPr>
          <w:rFonts w:ascii="Arial" w:eastAsia="Cambria" w:hAnsi="Arial" w:cs="Arial"/>
          <w:b/>
          <w:bCs/>
          <w:sz w:val="22"/>
          <w:szCs w:val="22"/>
          <w:lang w:val="en-US"/>
        </w:rPr>
        <w:t>said Normunds Staņēvičs, CEO of Food Union, Europe.</w:t>
      </w:r>
    </w:p>
    <w:p w14:paraId="7226E1E5" w14:textId="77777777" w:rsidR="00501F40" w:rsidRPr="00B21FFF" w:rsidRDefault="00501F40" w:rsidP="00B05CBC">
      <w:pPr>
        <w:jc w:val="both"/>
        <w:rPr>
          <w:rFonts w:ascii="Arial" w:eastAsia="Cambria" w:hAnsi="Arial" w:cs="Arial"/>
          <w:b/>
          <w:bCs/>
          <w:sz w:val="22"/>
          <w:szCs w:val="22"/>
          <w:lang w:val="en-US"/>
        </w:rPr>
      </w:pPr>
    </w:p>
    <w:p w14:paraId="58B4F691" w14:textId="77777777" w:rsidR="00501F40" w:rsidRPr="00B21FFF" w:rsidRDefault="00501F40" w:rsidP="00B05CBC">
      <w:pPr>
        <w:jc w:val="both"/>
        <w:rPr>
          <w:rFonts w:ascii="Arial" w:eastAsia="Cambria" w:hAnsi="Arial" w:cs="Arial"/>
          <w:sz w:val="22"/>
          <w:szCs w:val="22"/>
          <w:lang w:val="en-US"/>
        </w:rPr>
      </w:pPr>
      <w:r w:rsidRPr="00B21FFF">
        <w:rPr>
          <w:rFonts w:ascii="Arial" w:eastAsia="Cambria" w:hAnsi="Arial" w:cs="Arial"/>
          <w:sz w:val="22"/>
          <w:szCs w:val="22"/>
          <w:lang w:val="en-US"/>
        </w:rPr>
        <w:t>Food Union Group</w:t>
      </w:r>
      <w:r>
        <w:rPr>
          <w:rFonts w:ascii="Arial" w:eastAsia="Cambria" w:hAnsi="Arial" w:cs="Arial"/>
          <w:sz w:val="22"/>
          <w:szCs w:val="22"/>
          <w:lang w:val="en-US"/>
        </w:rPr>
        <w:t xml:space="preserve"> also strengthened their </w:t>
      </w:r>
      <w:r w:rsidRPr="008043A4">
        <w:rPr>
          <w:rFonts w:ascii="Arial" w:eastAsia="Cambria" w:hAnsi="Arial" w:cs="Arial"/>
          <w:sz w:val="22"/>
          <w:szCs w:val="22"/>
          <w:lang w:val="en-US"/>
        </w:rPr>
        <w:t>positio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>n across the dairy industry</w:t>
      </w:r>
      <w:r>
        <w:rPr>
          <w:rFonts w:ascii="Arial" w:eastAsia="Cambria" w:hAnsi="Arial" w:cs="Arial"/>
          <w:sz w:val="22"/>
          <w:szCs w:val="22"/>
          <w:lang w:val="en-US"/>
        </w:rPr>
        <w:t xml:space="preserve"> in 2019. T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>he Group is the leading ice cream company in the Baltics, as well as a strong regional player in Northern and South East</w:t>
      </w:r>
      <w:r>
        <w:rPr>
          <w:rFonts w:ascii="Arial" w:eastAsia="Cambria" w:hAnsi="Arial" w:cs="Arial"/>
          <w:sz w:val="22"/>
          <w:szCs w:val="22"/>
          <w:lang w:val="en-US"/>
        </w:rPr>
        <w:t>ern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Europe, and </w:t>
      </w:r>
      <w:r>
        <w:rPr>
          <w:rFonts w:ascii="Arial" w:eastAsia="Cambria" w:hAnsi="Arial" w:cs="Arial"/>
          <w:sz w:val="22"/>
          <w:szCs w:val="22"/>
          <w:lang w:val="en-US"/>
        </w:rPr>
        <w:t>a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Latvian national dairy champion. </w:t>
      </w:r>
      <w:r>
        <w:rPr>
          <w:rFonts w:ascii="Arial" w:eastAsia="Cambria" w:hAnsi="Arial" w:cs="Arial"/>
          <w:sz w:val="22"/>
          <w:szCs w:val="22"/>
          <w:lang w:val="en-US"/>
        </w:rPr>
        <w:t>T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he Group has built strong local brands </w:t>
      </w:r>
      <w:r>
        <w:rPr>
          <w:rFonts w:ascii="Arial" w:eastAsia="Cambria" w:hAnsi="Arial" w:cs="Arial"/>
          <w:sz w:val="22"/>
          <w:szCs w:val="22"/>
          <w:lang w:val="en-US"/>
        </w:rPr>
        <w:t>throughout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a wide range of product categories</w:t>
      </w:r>
      <w:r>
        <w:rPr>
          <w:rFonts w:ascii="Arial" w:eastAsia="Cambria" w:hAnsi="Arial" w:cs="Arial"/>
          <w:sz w:val="22"/>
          <w:szCs w:val="22"/>
          <w:lang w:val="en-US"/>
        </w:rPr>
        <w:t xml:space="preserve"> by c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ombining in-depth knowledge of what the consumer wants and </w:t>
      </w:r>
      <w:r>
        <w:rPr>
          <w:rFonts w:ascii="Arial" w:eastAsia="Cambria" w:hAnsi="Arial" w:cs="Arial"/>
          <w:sz w:val="22"/>
          <w:szCs w:val="22"/>
          <w:lang w:val="en-US"/>
        </w:rPr>
        <w:t>focusing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on innovation</w:t>
      </w:r>
      <w:r>
        <w:rPr>
          <w:rFonts w:ascii="Arial" w:eastAsia="Cambria" w:hAnsi="Arial" w:cs="Arial"/>
          <w:sz w:val="22"/>
          <w:szCs w:val="22"/>
          <w:lang w:val="en-US"/>
        </w:rPr>
        <w:t>.</w:t>
      </w:r>
    </w:p>
    <w:p w14:paraId="3163F391" w14:textId="77777777" w:rsidR="00501F40" w:rsidRPr="00B21FFF" w:rsidRDefault="00501F40" w:rsidP="00B05CBC">
      <w:pPr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6283C1D0" w14:textId="77777777" w:rsidR="00501F40" w:rsidRPr="00B21FFF" w:rsidRDefault="00501F40" w:rsidP="00B05CBC">
      <w:pPr>
        <w:jc w:val="both"/>
        <w:rPr>
          <w:rFonts w:ascii="Arial" w:eastAsia="Cambria" w:hAnsi="Arial" w:cs="Arial"/>
          <w:sz w:val="22"/>
          <w:szCs w:val="22"/>
          <w:lang w:val="en-US"/>
        </w:rPr>
      </w:pPr>
      <w:r w:rsidRPr="00B21FFF">
        <w:rPr>
          <w:rFonts w:ascii="Arial" w:eastAsia="Cambria" w:hAnsi="Arial" w:cs="Arial"/>
          <w:sz w:val="22"/>
          <w:szCs w:val="22"/>
          <w:lang w:val="en-US"/>
        </w:rPr>
        <w:t>The</w:t>
      </w:r>
      <w:r>
        <w:rPr>
          <w:rFonts w:ascii="Arial" w:eastAsia="Cambria" w:hAnsi="Arial" w:cs="Arial"/>
          <w:sz w:val="22"/>
          <w:szCs w:val="22"/>
          <w:lang w:val="en-US"/>
        </w:rPr>
        <w:t xml:space="preserve"> Group’s 2019 net revenue relied on two key products: ice cream products at nearly 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>60%</w:t>
      </w:r>
      <w:r>
        <w:rPr>
          <w:rFonts w:ascii="Arial" w:eastAsia="Cambria" w:hAnsi="Arial" w:cs="Arial"/>
          <w:sz w:val="22"/>
          <w:szCs w:val="22"/>
          <w:lang w:val="en-US"/>
        </w:rPr>
        <w:t xml:space="preserve"> of the total revenues 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>and dairy</w:t>
      </w:r>
      <w:r>
        <w:rPr>
          <w:rFonts w:ascii="Arial" w:eastAsia="Cambria" w:hAnsi="Arial" w:cs="Arial"/>
          <w:sz w:val="22"/>
          <w:szCs w:val="22"/>
          <w:lang w:val="en-US"/>
        </w:rPr>
        <w:t xml:space="preserve"> at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</w:t>
      </w:r>
      <w:r>
        <w:rPr>
          <w:rFonts w:ascii="Arial" w:eastAsia="Cambria" w:hAnsi="Arial" w:cs="Arial"/>
          <w:sz w:val="22"/>
          <w:szCs w:val="22"/>
          <w:lang w:val="en-US"/>
        </w:rPr>
        <w:t>almost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30%. Other products, such as frozen food and pastry, formed about 10% of the</w:t>
      </w:r>
      <w:r>
        <w:rPr>
          <w:rFonts w:ascii="Arial" w:eastAsia="Cambria" w:hAnsi="Arial" w:cs="Arial"/>
          <w:sz w:val="22"/>
          <w:szCs w:val="22"/>
          <w:lang w:val="en-US"/>
        </w:rPr>
        <w:t xml:space="preserve"> total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revenue.</w:t>
      </w:r>
    </w:p>
    <w:p w14:paraId="73AF34FB" w14:textId="70655C1F" w:rsidR="00501F40" w:rsidRPr="00B21FFF" w:rsidRDefault="00501F40" w:rsidP="00B05CBC">
      <w:pPr>
        <w:pStyle w:val="NormalWeb"/>
        <w:jc w:val="both"/>
        <w:rPr>
          <w:rFonts w:ascii="Arial" w:eastAsia="Cambria" w:hAnsi="Arial" w:cs="Arial"/>
          <w:sz w:val="22"/>
          <w:szCs w:val="22"/>
          <w:lang w:val="en-US"/>
        </w:rPr>
      </w:pPr>
      <w:r>
        <w:rPr>
          <w:rFonts w:ascii="Arial" w:eastAsia="Cambria" w:hAnsi="Arial" w:cs="Arial"/>
          <w:sz w:val="22"/>
          <w:szCs w:val="22"/>
          <w:lang w:val="en-US"/>
        </w:rPr>
        <w:t>Even though</w:t>
      </w:r>
      <w:r w:rsidR="00A36BD7">
        <w:rPr>
          <w:rFonts w:ascii="Arial" w:eastAsia="Cambria" w:hAnsi="Arial" w:cs="Arial"/>
          <w:sz w:val="22"/>
          <w:szCs w:val="22"/>
          <w:lang w:val="en-US"/>
        </w:rPr>
        <w:t xml:space="preserve"> </w:t>
      </w:r>
      <w:r>
        <w:rPr>
          <w:rFonts w:ascii="Arial" w:eastAsia="Cambria" w:hAnsi="Arial" w:cs="Arial"/>
          <w:sz w:val="22"/>
          <w:szCs w:val="22"/>
          <w:lang w:val="en-US"/>
        </w:rPr>
        <w:t>ice cream sales were impacted by cold and wet conditions in the summe</w:t>
      </w:r>
      <w:r w:rsidR="007C72D3">
        <w:rPr>
          <w:rFonts w:ascii="Arial" w:eastAsia="Cambria" w:hAnsi="Arial" w:cs="Arial"/>
          <w:sz w:val="22"/>
          <w:szCs w:val="22"/>
          <w:lang w:val="en-US"/>
        </w:rPr>
        <w:t>r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, </w:t>
      </w:r>
      <w:r>
        <w:rPr>
          <w:rFonts w:ascii="Arial" w:eastAsia="Cambria" w:hAnsi="Arial" w:cs="Arial"/>
          <w:sz w:val="22"/>
          <w:szCs w:val="22"/>
          <w:lang w:val="en-US"/>
        </w:rPr>
        <w:t>additional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food products </w:t>
      </w:r>
      <w:r>
        <w:rPr>
          <w:rFonts w:ascii="Arial" w:eastAsia="Cambria" w:hAnsi="Arial" w:cs="Arial"/>
          <w:sz w:val="22"/>
          <w:szCs w:val="22"/>
          <w:lang w:val="en-US"/>
        </w:rPr>
        <w:t>such as,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dairy, pastry, convenience and frozen foods achieved</w:t>
      </w:r>
      <w:r>
        <w:rPr>
          <w:rFonts w:ascii="Arial" w:eastAsia="Cambria" w:hAnsi="Arial" w:cs="Arial"/>
          <w:sz w:val="22"/>
          <w:szCs w:val="22"/>
          <w:lang w:val="en-US"/>
        </w:rPr>
        <w:t xml:space="preserve"> 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very good results. The Group also put considerable focus on </w:t>
      </w:r>
      <w:proofErr w:type="spellStart"/>
      <w:r w:rsidRPr="00B21FFF">
        <w:rPr>
          <w:rFonts w:ascii="Arial" w:eastAsia="Cambria" w:hAnsi="Arial" w:cs="Arial"/>
          <w:sz w:val="22"/>
          <w:szCs w:val="22"/>
          <w:lang w:val="en-US"/>
        </w:rPr>
        <w:t>modernising</w:t>
      </w:r>
      <w:proofErr w:type="spellEnd"/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trade across all its markets. It successfully entered new retail chains, as well as achieved enhanced listings on national and regional level</w:t>
      </w:r>
      <w:r>
        <w:rPr>
          <w:rFonts w:ascii="Arial" w:eastAsia="Cambria" w:hAnsi="Arial" w:cs="Arial"/>
          <w:sz w:val="22"/>
          <w:szCs w:val="22"/>
          <w:lang w:val="en-US"/>
        </w:rPr>
        <w:t>s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, leading to </w:t>
      </w:r>
      <w:proofErr w:type="gramStart"/>
      <w:r w:rsidRPr="00D10AB0">
        <w:rPr>
          <w:rFonts w:ascii="Arial" w:eastAsia="Cambria" w:hAnsi="Arial" w:cs="Arial"/>
          <w:sz w:val="22"/>
          <w:szCs w:val="22"/>
          <w:lang w:val="en-US"/>
        </w:rPr>
        <w:t>€163</w:t>
      </w:r>
      <w:r>
        <w:rPr>
          <w:rFonts w:ascii="Arial" w:eastAsia="Cambria" w:hAnsi="Arial" w:cs="Arial"/>
          <w:sz w:val="22"/>
          <w:szCs w:val="22"/>
          <w:lang w:val="en-US"/>
        </w:rPr>
        <w:t>-</w:t>
      </w:r>
      <w:r w:rsidRPr="00D10AB0">
        <w:rPr>
          <w:rFonts w:ascii="Arial" w:eastAsia="Cambria" w:hAnsi="Arial" w:cs="Arial"/>
          <w:sz w:val="22"/>
          <w:szCs w:val="22"/>
          <w:lang w:val="en-US"/>
        </w:rPr>
        <w:t>million</w:t>
      </w:r>
      <w:proofErr w:type="gramEnd"/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in ice-cream generated net revenues in 2019, </w:t>
      </w:r>
      <w:r>
        <w:rPr>
          <w:rFonts w:ascii="Arial" w:eastAsia="Cambria" w:hAnsi="Arial" w:cs="Arial"/>
          <w:sz w:val="22"/>
          <w:szCs w:val="22"/>
          <w:lang w:val="en-US"/>
        </w:rPr>
        <w:t>which is only a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1.8% decrease </w:t>
      </w:r>
      <w:r>
        <w:rPr>
          <w:rFonts w:ascii="Arial" w:eastAsia="Cambria" w:hAnsi="Arial" w:cs="Arial"/>
          <w:sz w:val="22"/>
          <w:szCs w:val="22"/>
          <w:lang w:val="en-US"/>
        </w:rPr>
        <w:t>from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 2018.</w:t>
      </w:r>
    </w:p>
    <w:p w14:paraId="23907B05" w14:textId="77777777" w:rsidR="00501F40" w:rsidRPr="00B21FFF" w:rsidRDefault="00501F40" w:rsidP="00B05CBC">
      <w:pPr>
        <w:jc w:val="both"/>
        <w:rPr>
          <w:rFonts w:ascii="Arial" w:eastAsia="Cambria" w:hAnsi="Arial" w:cs="Arial"/>
          <w:sz w:val="22"/>
          <w:szCs w:val="22"/>
          <w:lang w:val="en-US"/>
        </w:rPr>
      </w:pP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The dairy segment was stable with close to </w:t>
      </w:r>
      <w:r w:rsidRPr="00B21FFF">
        <w:rPr>
          <w:rFonts w:cstheme="minorHAnsi"/>
          <w:lang w:val="en-US"/>
        </w:rPr>
        <w:t>€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>81.8-million net revenue. Frozen food dropped by 8.3% (</w:t>
      </w:r>
      <w:r w:rsidRPr="00B21FFF">
        <w:rPr>
          <w:rFonts w:cstheme="minorHAnsi"/>
          <w:lang w:val="en-US"/>
        </w:rPr>
        <w:t>€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 xml:space="preserve">22 million net revenue), while pastry grew by 11.3%, posting net revenue of more than </w:t>
      </w:r>
      <w:proofErr w:type="gramStart"/>
      <w:r w:rsidRPr="00B21FFF">
        <w:rPr>
          <w:rFonts w:cstheme="minorHAnsi"/>
          <w:lang w:val="en-US"/>
        </w:rPr>
        <w:t>€</w:t>
      </w:r>
      <w:r w:rsidRPr="00B21FFF">
        <w:rPr>
          <w:rFonts w:ascii="Arial" w:eastAsia="Cambria" w:hAnsi="Arial" w:cs="Arial"/>
          <w:sz w:val="22"/>
          <w:szCs w:val="22"/>
          <w:lang w:val="en-US"/>
        </w:rPr>
        <w:t>5.8-million</w:t>
      </w:r>
      <w:proofErr w:type="gramEnd"/>
      <w:r w:rsidRPr="00B21FFF">
        <w:rPr>
          <w:rFonts w:ascii="Arial" w:eastAsia="Cambria" w:hAnsi="Arial" w:cs="Arial"/>
          <w:sz w:val="22"/>
          <w:szCs w:val="22"/>
          <w:lang w:val="en-US"/>
        </w:rPr>
        <w:t>.</w:t>
      </w:r>
    </w:p>
    <w:p w14:paraId="78CC2FC7" w14:textId="77777777" w:rsidR="00501F40" w:rsidRPr="00B21FFF" w:rsidRDefault="00501F40" w:rsidP="00B05CBC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2"/>
          <w:szCs w:val="22"/>
          <w:lang w:val="en-US" w:eastAsia="en-GB" w:bidi="ar-SA"/>
        </w:rPr>
      </w:pPr>
      <w:r w:rsidRPr="00B21FFF">
        <w:rPr>
          <w:rFonts w:ascii="Arial" w:eastAsia="Times New Roman" w:hAnsi="Arial" w:cs="Arial"/>
          <w:b/>
          <w:bCs/>
          <w:sz w:val="22"/>
          <w:szCs w:val="22"/>
          <w:lang w:val="en-US" w:eastAsia="en-GB" w:bidi="ar-SA"/>
        </w:rPr>
        <w:lastRenderedPageBreak/>
        <w:t>Key financial figures (€ million):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409"/>
        <w:gridCol w:w="1691"/>
      </w:tblGrid>
      <w:tr w:rsidR="00501F40" w:rsidRPr="00C57040" w14:paraId="640633BE" w14:textId="77777777" w:rsidTr="00B21FFF">
        <w:tc>
          <w:tcPr>
            <w:tcW w:w="2552" w:type="dxa"/>
          </w:tcPr>
          <w:p w14:paraId="4C51D1A4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</w:pPr>
          </w:p>
        </w:tc>
        <w:tc>
          <w:tcPr>
            <w:tcW w:w="2410" w:type="dxa"/>
          </w:tcPr>
          <w:p w14:paraId="79E44D3A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  <w:t>2019</w:t>
            </w:r>
          </w:p>
        </w:tc>
        <w:tc>
          <w:tcPr>
            <w:tcW w:w="2409" w:type="dxa"/>
          </w:tcPr>
          <w:p w14:paraId="4673A34E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  <w:t>2018</w:t>
            </w:r>
          </w:p>
        </w:tc>
        <w:tc>
          <w:tcPr>
            <w:tcW w:w="1691" w:type="dxa"/>
          </w:tcPr>
          <w:p w14:paraId="5D4CBD47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  <w:t>2017</w:t>
            </w:r>
          </w:p>
        </w:tc>
      </w:tr>
      <w:tr w:rsidR="00501F40" w:rsidRPr="00C57040" w14:paraId="5D706D9B" w14:textId="77777777" w:rsidTr="00B21FFF">
        <w:tc>
          <w:tcPr>
            <w:tcW w:w="2552" w:type="dxa"/>
          </w:tcPr>
          <w:p w14:paraId="5CFBEFE4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  <w:t>Net revenue</w:t>
            </w:r>
          </w:p>
        </w:tc>
        <w:tc>
          <w:tcPr>
            <w:tcW w:w="2410" w:type="dxa"/>
          </w:tcPr>
          <w:p w14:paraId="482EDEEF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276.6</w:t>
            </w:r>
          </w:p>
        </w:tc>
        <w:tc>
          <w:tcPr>
            <w:tcW w:w="2409" w:type="dxa"/>
          </w:tcPr>
          <w:p w14:paraId="492B6040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280.1</w:t>
            </w:r>
          </w:p>
        </w:tc>
        <w:tc>
          <w:tcPr>
            <w:tcW w:w="1691" w:type="dxa"/>
          </w:tcPr>
          <w:p w14:paraId="20184088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253.4</w:t>
            </w:r>
          </w:p>
        </w:tc>
      </w:tr>
      <w:tr w:rsidR="00501F40" w:rsidRPr="00C57040" w14:paraId="441EC15B" w14:textId="77777777" w:rsidTr="00B21FFF">
        <w:tc>
          <w:tcPr>
            <w:tcW w:w="2552" w:type="dxa"/>
            <w:tcBorders>
              <w:bottom w:val="single" w:sz="4" w:space="0" w:color="auto"/>
            </w:tcBorders>
          </w:tcPr>
          <w:p w14:paraId="3D29C919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  <w:t>Gross profit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148C3E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103.6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A54D6EE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113.1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63C628F9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85.7</w:t>
            </w:r>
          </w:p>
        </w:tc>
      </w:tr>
      <w:tr w:rsidR="00501F40" w:rsidRPr="00C57040" w14:paraId="29363157" w14:textId="77777777" w:rsidTr="00B21FFF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ECA549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  <w:t>Cash flow from operating activities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8DCA92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31.9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A10FFE" w14:textId="77777777" w:rsidR="00501F40" w:rsidRPr="00B21FFF" w:rsidDel="0043444A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31.2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5AEF4BA7" w14:textId="77777777" w:rsidR="00501F40" w:rsidRPr="00B21FFF" w:rsidDel="0043444A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23.7</w:t>
            </w:r>
          </w:p>
        </w:tc>
      </w:tr>
      <w:tr w:rsidR="00501F40" w:rsidRPr="00C57040" w14:paraId="7F08CC16" w14:textId="77777777" w:rsidTr="00B21FFF">
        <w:tc>
          <w:tcPr>
            <w:tcW w:w="2552" w:type="dxa"/>
            <w:tcBorders>
              <w:top w:val="single" w:sz="4" w:space="0" w:color="auto"/>
            </w:tcBorders>
          </w:tcPr>
          <w:p w14:paraId="1F0FB11F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GB" w:bidi="ar-SA"/>
              </w:rPr>
              <w:t>Cash flow on capital investments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80AB5EC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18.8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DF1F967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16.1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16F98FA8" w14:textId="77777777" w:rsidR="00501F40" w:rsidRPr="00B21FFF" w:rsidRDefault="00501F40" w:rsidP="00B05CB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</w:pPr>
            <w:r w:rsidRPr="00B21FFF">
              <w:rPr>
                <w:rFonts w:ascii="Arial" w:eastAsia="Times New Roman" w:hAnsi="Arial" w:cs="Arial"/>
                <w:sz w:val="22"/>
                <w:szCs w:val="22"/>
                <w:lang w:val="en-US" w:eastAsia="en-GB" w:bidi="ar-SA"/>
              </w:rPr>
              <w:t>8.3</w:t>
            </w:r>
          </w:p>
        </w:tc>
      </w:tr>
    </w:tbl>
    <w:p w14:paraId="0F8A60B4" w14:textId="77777777" w:rsidR="00501F40" w:rsidRPr="00B21FFF" w:rsidRDefault="00501F40" w:rsidP="00B05CBC">
      <w:pPr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4AACA4D8" w14:textId="77777777" w:rsidR="00501F40" w:rsidRPr="00B21FFF" w:rsidRDefault="00501F40" w:rsidP="00B05CBC">
      <w:pPr>
        <w:pStyle w:val="p2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US"/>
        </w:rPr>
      </w:pPr>
      <w:r w:rsidRPr="00B21FFF">
        <w:rPr>
          <w:rStyle w:val="st"/>
          <w:rFonts w:ascii="Arial" w:hAnsi="Arial" w:cs="Arial"/>
          <w:iCs/>
          <w:color w:val="000000" w:themeColor="text1"/>
          <w:sz w:val="22"/>
          <w:szCs w:val="22"/>
          <w:lang w:val="en-US"/>
        </w:rPr>
        <w:t>Since 2011, Food Union has grown to be the leading ice cream maker in the Baltics and Denmark; it also holds</w:t>
      </w:r>
      <w:r>
        <w:rPr>
          <w:rStyle w:val="st"/>
          <w:rFonts w:ascii="Arial" w:hAnsi="Arial" w:cs="Arial"/>
          <w:iCs/>
          <w:color w:val="000000" w:themeColor="text1"/>
          <w:sz w:val="22"/>
          <w:szCs w:val="22"/>
          <w:lang w:val="en-US"/>
        </w:rPr>
        <w:t xml:space="preserve"> a</w:t>
      </w:r>
      <w:r w:rsidRPr="00B21FFF">
        <w:rPr>
          <w:rStyle w:val="st"/>
          <w:rFonts w:ascii="Arial" w:hAnsi="Arial" w:cs="Arial"/>
          <w:iCs/>
          <w:color w:val="000000" w:themeColor="text1"/>
          <w:sz w:val="22"/>
          <w:szCs w:val="22"/>
          <w:lang w:val="en-US"/>
        </w:rPr>
        <w:t xml:space="preserve"> strong market position in Norway, Romania, Russia and Belarus. Shareholders of Food Union Group include its founder and global head, Andrey Beskhmelnitsky; the Hong Kong-based investment company, Meridian Capital Limited; and PAG, one of Asia’s largest private capital firms. </w:t>
      </w:r>
      <w:r w:rsidRPr="00A51504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 xml:space="preserve">Meridian Capital Limited and PAG </w:t>
      </w:r>
      <w:r w:rsidRPr="00B21FFF">
        <w:rPr>
          <w:rStyle w:val="st"/>
          <w:rFonts w:ascii="Arial" w:hAnsi="Arial" w:cs="Arial"/>
          <w:iCs/>
          <w:color w:val="000000" w:themeColor="text1"/>
          <w:sz w:val="22"/>
          <w:szCs w:val="22"/>
          <w:lang w:val="en-US"/>
        </w:rPr>
        <w:t xml:space="preserve">became Food Union shareholders in 2015 and 2018 respectively in order to finance construction of two dairy plants in China and facilitate the Group’s dynamic expansion into </w:t>
      </w:r>
      <w:r>
        <w:rPr>
          <w:rStyle w:val="st"/>
          <w:rFonts w:ascii="Arial" w:hAnsi="Arial" w:cs="Arial"/>
          <w:iCs/>
          <w:color w:val="000000" w:themeColor="text1"/>
          <w:sz w:val="22"/>
          <w:szCs w:val="22"/>
          <w:lang w:val="en-US"/>
        </w:rPr>
        <w:t>the Chinese</w:t>
      </w:r>
      <w:r w:rsidRPr="00B21FFF">
        <w:rPr>
          <w:rStyle w:val="st"/>
          <w:rFonts w:ascii="Arial" w:hAnsi="Arial" w:cs="Arial"/>
          <w:iCs/>
          <w:color w:val="000000" w:themeColor="text1"/>
          <w:sz w:val="22"/>
          <w:szCs w:val="22"/>
          <w:lang w:val="en-US"/>
        </w:rPr>
        <w:t xml:space="preserve"> market.</w:t>
      </w:r>
    </w:p>
    <w:p w14:paraId="5C3CC8EF" w14:textId="77777777" w:rsidR="00501F40" w:rsidRPr="00B21FFF" w:rsidRDefault="00501F40" w:rsidP="00B05CBC">
      <w:pPr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22F56A31" w14:textId="77777777" w:rsidR="00501F40" w:rsidRPr="00B21FFF" w:rsidRDefault="00501F40" w:rsidP="00B05CBC">
      <w:pPr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3BF7ACD2" w14:textId="77777777" w:rsidR="00501F40" w:rsidRPr="00B21FFF" w:rsidRDefault="00501F40" w:rsidP="00B05CBC">
      <w:pPr>
        <w:jc w:val="both"/>
        <w:rPr>
          <w:rFonts w:ascii="Arial" w:eastAsia="Cambria" w:hAnsi="Arial" w:cs="Arial"/>
          <w:b/>
          <w:color w:val="000000" w:themeColor="text1"/>
          <w:sz w:val="18"/>
          <w:szCs w:val="18"/>
          <w:lang w:val="en-US"/>
        </w:rPr>
      </w:pPr>
      <w:r w:rsidRPr="00B21FFF">
        <w:rPr>
          <w:rFonts w:ascii="Arial" w:eastAsia="Cambria" w:hAnsi="Arial" w:cs="Arial"/>
          <w:b/>
          <w:color w:val="000000" w:themeColor="text1"/>
          <w:sz w:val="18"/>
          <w:szCs w:val="18"/>
          <w:lang w:val="en-US"/>
        </w:rPr>
        <w:t>ABOUT FOOD UNION</w:t>
      </w:r>
    </w:p>
    <w:p w14:paraId="27ADD805" w14:textId="77777777" w:rsidR="00501F40" w:rsidRPr="00C57040" w:rsidRDefault="00501F40" w:rsidP="00B05CBC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>Food Union is a global scale, market insight and innovation driven food producing and distributing group, that develops local brands and delivers delightful products for the well-being of people.</w:t>
      </w:r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Food Union is the largest dairy company in Latvia and the leading ice cream producer in the Baltic countries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and Denmark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. Food Union Group is made up of the 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>two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largest dairy 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and ice cream 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>companies in Latvia,</w:t>
      </w:r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>Rīgas</w:t>
      </w:r>
      <w:proofErr w:type="spellEnd"/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>piena</w:t>
      </w:r>
      <w:proofErr w:type="spellEnd"/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>kombināts</w:t>
      </w:r>
      <w:proofErr w:type="spellEnd"/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and </w:t>
      </w:r>
      <w:proofErr w:type="spellStart"/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>Valmieras</w:t>
      </w:r>
      <w:proofErr w:type="spellEnd"/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>piens</w:t>
      </w:r>
      <w:proofErr w:type="spellEnd"/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>;</w:t>
      </w:r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Estonia’s 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and Lithuania’s 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>largest ice cream maker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>s,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Premia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TKH and Premia KPC, respectively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>; the leading Danish ice cream producer</w:t>
      </w:r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Premier Is, and Danish 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doorstep-delivery 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>ice cream company,</w:t>
      </w:r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Hjem Is; Norway’s ice cream production company, </w:t>
      </w:r>
      <w:proofErr w:type="spellStart"/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>Isbjørn</w:t>
      </w:r>
      <w:proofErr w:type="spellEnd"/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Is,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and doorstep-delivery ice cream company, Den Norske </w:t>
      </w:r>
      <w:proofErr w:type="spellStart"/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>Isbile</w:t>
      </w:r>
      <w:proofErr w:type="spellEnd"/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>;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Romanian ice cream maker Alpin57Lu</w:t>
      </w:r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>; Ingman Ice Cream in Belarus;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and </w:t>
      </w:r>
      <w:proofErr w:type="spellStart"/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>Khladokombinat</w:t>
      </w:r>
      <w:proofErr w:type="spellEnd"/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No.1 in Russia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>. In 2018,</w:t>
      </w:r>
      <w:r w:rsidRPr="00D10AB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Food Union 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>expanded into China by opening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two </w:t>
      </w:r>
      <w:r w:rsidRPr="00B21F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greenfield </w:t>
      </w:r>
      <w:r w:rsidRPr="00C57040">
        <w:rPr>
          <w:rFonts w:ascii="Arial" w:hAnsi="Arial" w:cs="Arial"/>
          <w:color w:val="000000" w:themeColor="text1"/>
          <w:sz w:val="18"/>
          <w:szCs w:val="18"/>
          <w:lang w:val="en-US"/>
        </w:rPr>
        <w:t>dairy and children’s product plants in China.</w:t>
      </w:r>
    </w:p>
    <w:p w14:paraId="53450897" w14:textId="77777777" w:rsidR="00501F40" w:rsidRPr="00B21FFF" w:rsidRDefault="00501F40" w:rsidP="00B05CBC">
      <w:pPr>
        <w:jc w:val="both"/>
        <w:rPr>
          <w:rFonts w:ascii="Arial" w:eastAsia="Cambria" w:hAnsi="Arial" w:cs="Arial"/>
          <w:b/>
          <w:bCs/>
          <w:sz w:val="18"/>
          <w:szCs w:val="18"/>
          <w:lang w:val="en-US"/>
        </w:rPr>
      </w:pPr>
      <w:r w:rsidRPr="00B21FFF">
        <w:rPr>
          <w:rFonts w:ascii="Arial" w:eastAsia="Cambria" w:hAnsi="Arial" w:cs="Arial"/>
          <w:b/>
          <w:bCs/>
          <w:sz w:val="18"/>
          <w:szCs w:val="18"/>
          <w:lang w:val="en-US"/>
        </w:rPr>
        <w:t>CONTACT:</w:t>
      </w:r>
    </w:p>
    <w:p w14:paraId="1A675B5B" w14:textId="77777777" w:rsidR="00501F40" w:rsidRPr="00C57040" w:rsidRDefault="00501F40" w:rsidP="00B05CBC">
      <w:pPr>
        <w:jc w:val="both"/>
        <w:rPr>
          <w:rFonts w:ascii="Arial" w:hAnsi="Arial" w:cs="Arial"/>
          <w:sz w:val="18"/>
          <w:szCs w:val="18"/>
          <w:lang w:val="en-US"/>
        </w:rPr>
      </w:pPr>
      <w:r w:rsidRPr="00B21FFF">
        <w:rPr>
          <w:rFonts w:ascii="Arial" w:hAnsi="Arial" w:cs="Arial"/>
          <w:sz w:val="18"/>
          <w:szCs w:val="18"/>
          <w:lang w:val="en-US"/>
        </w:rPr>
        <w:t xml:space="preserve">Linda </w:t>
      </w:r>
      <w:proofErr w:type="spellStart"/>
      <w:r w:rsidRPr="00B21FFF">
        <w:rPr>
          <w:rFonts w:ascii="Arial" w:hAnsi="Arial" w:cs="Arial"/>
          <w:sz w:val="18"/>
          <w:szCs w:val="18"/>
          <w:lang w:val="en-US"/>
        </w:rPr>
        <w:t>Mežgaile</w:t>
      </w:r>
      <w:proofErr w:type="spellEnd"/>
    </w:p>
    <w:p w14:paraId="0A286503" w14:textId="77777777" w:rsidR="00501F40" w:rsidRPr="00C57040" w:rsidRDefault="00501F40" w:rsidP="00B05CBC">
      <w:pPr>
        <w:jc w:val="both"/>
        <w:rPr>
          <w:rFonts w:ascii="Arial" w:hAnsi="Arial" w:cs="Arial"/>
          <w:sz w:val="18"/>
          <w:szCs w:val="18"/>
          <w:lang w:val="en-US"/>
        </w:rPr>
      </w:pPr>
      <w:r w:rsidRPr="00C57040">
        <w:rPr>
          <w:rFonts w:ascii="Arial" w:hAnsi="Arial" w:cs="Arial"/>
          <w:i/>
          <w:iCs/>
          <w:sz w:val="18"/>
          <w:szCs w:val="18"/>
          <w:lang w:val="en-US"/>
        </w:rPr>
        <w:t xml:space="preserve">Food Union </w:t>
      </w:r>
      <w:r w:rsidRPr="00B21FFF">
        <w:rPr>
          <w:rFonts w:ascii="Arial" w:hAnsi="Arial" w:cs="Arial"/>
          <w:sz w:val="18"/>
          <w:szCs w:val="18"/>
          <w:lang w:val="en-US"/>
        </w:rPr>
        <w:t>Head of PR</w:t>
      </w:r>
    </w:p>
    <w:p w14:paraId="4AB7EB59" w14:textId="77777777" w:rsidR="00501F40" w:rsidRPr="00C57040" w:rsidRDefault="00501F40" w:rsidP="00B05CBC">
      <w:pPr>
        <w:jc w:val="both"/>
        <w:rPr>
          <w:rFonts w:ascii="Arial" w:hAnsi="Arial" w:cs="Arial"/>
          <w:sz w:val="18"/>
          <w:szCs w:val="18"/>
          <w:lang w:val="en-US"/>
        </w:rPr>
      </w:pPr>
      <w:r w:rsidRPr="00B21FFF">
        <w:rPr>
          <w:rFonts w:ascii="Arial" w:hAnsi="Arial" w:cs="Arial"/>
          <w:sz w:val="18"/>
          <w:szCs w:val="18"/>
          <w:lang w:val="en-US"/>
        </w:rPr>
        <w:t>Linda.mezgaile@mmacomms.lv</w:t>
      </w:r>
    </w:p>
    <w:p w14:paraId="0CCC8536" w14:textId="77777777" w:rsidR="00501F40" w:rsidRPr="00C57040" w:rsidRDefault="00501F40" w:rsidP="00B05CBC">
      <w:pPr>
        <w:jc w:val="both"/>
        <w:rPr>
          <w:rFonts w:ascii="Arial" w:hAnsi="Arial" w:cs="Arial"/>
          <w:sz w:val="18"/>
          <w:szCs w:val="18"/>
          <w:lang w:val="en-US"/>
        </w:rPr>
      </w:pPr>
      <w:r w:rsidRPr="00C57040">
        <w:rPr>
          <w:rFonts w:ascii="Arial" w:hAnsi="Arial" w:cs="Arial"/>
          <w:sz w:val="18"/>
          <w:szCs w:val="18"/>
          <w:lang w:val="en-US"/>
        </w:rPr>
        <w:t>T: +371 </w:t>
      </w:r>
      <w:r w:rsidRPr="00B21FFF">
        <w:rPr>
          <w:rFonts w:ascii="Arial" w:hAnsi="Arial" w:cs="Arial"/>
          <w:sz w:val="18"/>
          <w:szCs w:val="18"/>
          <w:lang w:val="en-US"/>
        </w:rPr>
        <w:t>29772050</w:t>
      </w:r>
    </w:p>
    <w:p w14:paraId="1D1F0DDC" w14:textId="77777777" w:rsidR="00501F40" w:rsidRPr="00B21FFF" w:rsidRDefault="00501F40" w:rsidP="00B05CBC">
      <w:pPr>
        <w:pStyle w:val="p1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4B636EF6" w14:textId="77777777" w:rsidR="00501F40" w:rsidRDefault="00501F40" w:rsidP="00B05CBC">
      <w:pPr>
        <w:jc w:val="both"/>
      </w:pPr>
    </w:p>
    <w:sectPr w:rsidR="00501F40" w:rsidSect="000B5DC4">
      <w:headerReference w:type="default" r:id="rId7"/>
      <w:pgSz w:w="11900" w:h="16840"/>
      <w:pgMar w:top="851" w:right="1268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F5442" w14:textId="77777777" w:rsidR="0045637E" w:rsidRDefault="0045637E">
      <w:r>
        <w:separator/>
      </w:r>
    </w:p>
  </w:endnote>
  <w:endnote w:type="continuationSeparator" w:id="0">
    <w:p w14:paraId="64F4E4CF" w14:textId="77777777" w:rsidR="0045637E" w:rsidRDefault="0045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.SF UI Tex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B31CF" w14:textId="77777777" w:rsidR="0045637E" w:rsidRDefault="0045637E">
      <w:r>
        <w:separator/>
      </w:r>
    </w:p>
  </w:footnote>
  <w:footnote w:type="continuationSeparator" w:id="0">
    <w:p w14:paraId="227E8297" w14:textId="77777777" w:rsidR="0045637E" w:rsidRDefault="0045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C9EC" w14:textId="77777777" w:rsidR="00BE1219" w:rsidRDefault="00410075" w:rsidP="006C5AA7">
    <w:pPr>
      <w:ind w:left="4320"/>
      <w:rPr>
        <w:rFonts w:ascii="Avenir Book" w:hAnsi="Avenir Book"/>
        <w:color w:val="7F7F7F"/>
        <w:sz w:val="20"/>
        <w:szCs w:val="20"/>
      </w:rPr>
    </w:pPr>
    <w:r>
      <w:rPr>
        <w:rFonts w:ascii="Avenir Book" w:hAnsi="Avenir Book"/>
        <w:color w:val="7F7F7F"/>
        <w:sz w:val="20"/>
      </w:rPr>
      <w:tab/>
    </w:r>
    <w:r>
      <w:rPr>
        <w:rFonts w:ascii="Avenir Book" w:hAnsi="Avenir Book"/>
        <w:color w:val="7F7F7F"/>
        <w:sz w:val="20"/>
      </w:rPr>
      <w:tab/>
    </w:r>
    <w:r>
      <w:tab/>
    </w:r>
    <w:r>
      <w:tab/>
    </w:r>
    <w:hyperlink r:id="rId1">
      <w:r>
        <w:rPr>
          <w:rStyle w:val="Hyperlink"/>
          <w:rFonts w:ascii="Avenir Book" w:hAnsi="Avenir Book"/>
          <w:sz w:val="20"/>
        </w:rPr>
        <w:t>www.foodunion.com</w:t>
      </w:r>
    </w:hyperlink>
  </w:p>
  <w:p w14:paraId="3E4D2CFD" w14:textId="77777777" w:rsidR="007276A6" w:rsidRPr="0020513D" w:rsidRDefault="00410075" w:rsidP="006C5AA7">
    <w:pPr>
      <w:ind w:left="4320"/>
      <w:rPr>
        <w:rFonts w:ascii="Avenir Book" w:hAnsi="Avenir Book"/>
        <w:color w:val="7F7F7F"/>
        <w:sz w:val="20"/>
        <w:szCs w:val="20"/>
      </w:rPr>
    </w:pPr>
    <w:r>
      <w:br/>
    </w:r>
  </w:p>
  <w:p w14:paraId="31C3BFFA" w14:textId="77777777" w:rsidR="007276A6" w:rsidRDefault="00456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40"/>
    <w:rsid w:val="00140A9F"/>
    <w:rsid w:val="003C4871"/>
    <w:rsid w:val="00410075"/>
    <w:rsid w:val="0045637E"/>
    <w:rsid w:val="00501F40"/>
    <w:rsid w:val="006D514F"/>
    <w:rsid w:val="0073680F"/>
    <w:rsid w:val="007601BA"/>
    <w:rsid w:val="007C72D3"/>
    <w:rsid w:val="00845265"/>
    <w:rsid w:val="00A36BD7"/>
    <w:rsid w:val="00B01395"/>
    <w:rsid w:val="00B05CBC"/>
    <w:rsid w:val="00B31141"/>
    <w:rsid w:val="00D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BB0289"/>
  <w15:chartTrackingRefBased/>
  <w15:docId w15:val="{4224DAFC-4D47-C04F-8BF4-30EFA01C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40"/>
    <w:rPr>
      <w:rFonts w:ascii="Cambria" w:eastAsia="MS Mincho" w:hAnsi="Cambria" w:cs="Times New Roman"/>
      <w:lang w:val="lv-LV"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F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rsid w:val="00501F4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01F40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01F40"/>
  </w:style>
  <w:style w:type="character" w:customStyle="1" w:styleId="CommentTextChar">
    <w:name w:val="Comment Text Char"/>
    <w:basedOn w:val="DefaultParagraphFont"/>
    <w:link w:val="CommentText"/>
    <w:rsid w:val="00501F40"/>
    <w:rPr>
      <w:rFonts w:ascii="Cambria" w:eastAsia="MS Mincho" w:hAnsi="Cambria" w:cs="Times New Roman"/>
      <w:lang w:val="lv-LV" w:eastAsia="lv-LV" w:bidi="lv-LV"/>
    </w:rPr>
  </w:style>
  <w:style w:type="paragraph" w:styleId="Header">
    <w:name w:val="header"/>
    <w:basedOn w:val="Normal"/>
    <w:link w:val="HeaderChar"/>
    <w:uiPriority w:val="99"/>
    <w:unhideWhenUsed/>
    <w:rsid w:val="00501F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F40"/>
    <w:rPr>
      <w:rFonts w:ascii="Cambria" w:eastAsia="MS Mincho" w:hAnsi="Cambria" w:cs="Times New Roman"/>
      <w:lang w:val="lv-LV" w:eastAsia="lv-LV" w:bidi="lv-LV"/>
    </w:rPr>
  </w:style>
  <w:style w:type="paragraph" w:customStyle="1" w:styleId="p1">
    <w:name w:val="p1"/>
    <w:basedOn w:val="Normal"/>
    <w:rsid w:val="00501F40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"/>
    <w:rsid w:val="00501F40"/>
    <w:rPr>
      <w:rFonts w:ascii=".SF UI Text" w:eastAsia="Calibri" w:hAnsi=".SF UI Text"/>
      <w:color w:val="454545"/>
      <w:sz w:val="26"/>
      <w:szCs w:val="26"/>
    </w:rPr>
  </w:style>
  <w:style w:type="character" w:customStyle="1" w:styleId="st">
    <w:name w:val="st"/>
    <w:basedOn w:val="DefaultParagraphFont"/>
    <w:rsid w:val="00501F40"/>
  </w:style>
  <w:style w:type="table" w:styleId="TableGrid">
    <w:name w:val="Table Grid"/>
    <w:basedOn w:val="TableNormal"/>
    <w:uiPriority w:val="59"/>
    <w:rsid w:val="00501F40"/>
    <w:rPr>
      <w:rFonts w:ascii="Cambria" w:eastAsia="MS Mincho" w:hAnsi="Cambria" w:cs="Times New Roman"/>
      <w:sz w:val="20"/>
      <w:szCs w:val="20"/>
      <w:lang w:val="lv-LV" w:eastAsia="lv-LV" w:bidi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F4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40"/>
    <w:rPr>
      <w:rFonts w:ascii="Times New Roman" w:eastAsia="MS Mincho" w:hAnsi="Times New Roman" w:cs="Times New Roman"/>
      <w:sz w:val="18"/>
      <w:szCs w:val="18"/>
      <w:lang w:val="lv-LV" w:eastAsia="lv-LV" w:bidi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C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CBC"/>
    <w:rPr>
      <w:rFonts w:ascii="Cambria" w:eastAsia="MS Mincho" w:hAnsi="Cambria" w:cs="Times New Roman"/>
      <w:b/>
      <w:bCs/>
      <w:sz w:val="20"/>
      <w:szCs w:val="20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odun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Caroleana Kvaterchuk</dc:creator>
  <cp:keywords/>
  <dc:description/>
  <cp:lastModifiedBy>Linda Mežgaile</cp:lastModifiedBy>
  <cp:revision>2</cp:revision>
  <dcterms:created xsi:type="dcterms:W3CDTF">2020-08-05T06:50:00Z</dcterms:created>
  <dcterms:modified xsi:type="dcterms:W3CDTF">2020-08-05T06:50:00Z</dcterms:modified>
</cp:coreProperties>
</file>